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A0A0F" w:rsidRDefault="0076630F" w:rsidP="00BD4606">
      <w:pPr>
        <w:jc w:val="center"/>
      </w:pPr>
      <w:r>
        <w:rPr>
          <w:b/>
        </w:rPr>
        <w:t>Chapter 6</w:t>
      </w:r>
      <w:r w:rsidR="005B7E97">
        <w:rPr>
          <w:rFonts w:cstheme="minorHAnsi"/>
          <w:b/>
        </w:rPr>
        <w:t>—</w:t>
      </w:r>
      <w:r w:rsidR="00BD4606">
        <w:rPr>
          <w:b/>
        </w:rPr>
        <w:t>Forever Young Solution</w:t>
      </w:r>
    </w:p>
    <w:p w:rsidR="00BD4606" w:rsidRDefault="00BD4606" w:rsidP="00753301">
      <w:pPr>
        <w:pStyle w:val="ListParagraph"/>
        <w:numPr>
          <w:ilvl w:val="0"/>
          <w:numId w:val="1"/>
        </w:numPr>
      </w:pPr>
      <w:r>
        <w:t xml:space="preserve">The decision tree for Forever </w:t>
      </w:r>
      <w:r w:rsidR="005B7E97">
        <w:t>Y</w:t>
      </w:r>
      <w:r>
        <w:t>oung is as follows:</w:t>
      </w:r>
    </w:p>
    <w:p w:rsidR="00BD4606" w:rsidRDefault="00BD4606" w:rsidP="00BD4606">
      <w:r w:rsidRPr="00BD4606">
        <w:rPr>
          <w:noProof/>
        </w:rPr>
        <w:drawing>
          <wp:inline distT="0" distB="0" distL="0" distR="0">
            <wp:extent cx="5943600" cy="4884842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884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4303" w:rsidRDefault="00974303">
      <w:pPr>
        <w:rPr>
          <w:u w:val="single"/>
        </w:rPr>
      </w:pPr>
      <w:r>
        <w:rPr>
          <w:u w:val="single"/>
        </w:rPr>
        <w:br w:type="page"/>
      </w:r>
      <w:bookmarkStart w:id="0" w:name="_GoBack"/>
      <w:bookmarkEnd w:id="0"/>
    </w:p>
    <w:p w:rsidR="00753301" w:rsidRPr="00753301" w:rsidRDefault="006B0BE9" w:rsidP="00753301">
      <w:pPr>
        <w:pStyle w:val="ListParagraph"/>
        <w:numPr>
          <w:ilvl w:val="0"/>
          <w:numId w:val="1"/>
        </w:numPr>
      </w:pPr>
      <w:r>
        <w:lastRenderedPageBreak/>
        <w:t xml:space="preserve">All details of the analysis are contained in the spreadsheet </w:t>
      </w:r>
      <w:r>
        <w:rPr>
          <w:i/>
        </w:rPr>
        <w:t>Chapter 6-Forever Young-Case Solution</w:t>
      </w:r>
      <w:r>
        <w:t xml:space="preserve">. </w:t>
      </w:r>
      <w:r w:rsidR="00753301">
        <w:t>The NPV of expected profit for the onshoring and offshoring options are as follows:</w:t>
      </w:r>
    </w:p>
    <w:p w:rsidR="00BD4606" w:rsidRPr="006B0BE9" w:rsidRDefault="00974303" w:rsidP="00BD4606">
      <w:r>
        <w:rPr>
          <w:u w:val="single"/>
        </w:rPr>
        <w:t>Onshoring</w:t>
      </w:r>
      <w:r w:rsidR="006B0BE9">
        <w:rPr>
          <w:u w:val="single"/>
        </w:rPr>
        <w:t xml:space="preserve"> (see worksheet </w:t>
      </w:r>
      <w:r w:rsidR="006B0BE9">
        <w:rPr>
          <w:i/>
          <w:u w:val="single"/>
        </w:rPr>
        <w:t>Onshoring</w:t>
      </w:r>
      <w:r w:rsidR="006B0BE9">
        <w:rPr>
          <w:u w:val="single"/>
        </w:rPr>
        <w:t>)</w:t>
      </w:r>
    </w:p>
    <w:p w:rsidR="00974303" w:rsidRDefault="00974303" w:rsidP="00BD4606">
      <w:r>
        <w:t xml:space="preserve">If the company onshores production, the period 2 analysis is as follows (Given that production is onshored it stays at </w:t>
      </w:r>
      <w:r w:rsidR="00D91090">
        <w:t>$</w:t>
      </w:r>
      <w:r>
        <w:t xml:space="preserve">10 and is not affected by exchange rate fluctuations. Revenue stays at </w:t>
      </w:r>
      <w:r w:rsidR="00D91090">
        <w:t>$</w:t>
      </w:r>
      <w:r>
        <w:t>20 per unit for each period):</w:t>
      </w:r>
    </w:p>
    <w:p w:rsidR="00974303" w:rsidRDefault="00EF3BDE" w:rsidP="00BD4606">
      <w:r w:rsidRPr="00EF3BDE">
        <w:rPr>
          <w:noProof/>
        </w:rPr>
        <w:drawing>
          <wp:inline distT="0" distB="0" distL="0" distR="0">
            <wp:extent cx="4992624" cy="2871216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92624" cy="2871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4303" w:rsidRDefault="00974303" w:rsidP="00BD4606">
      <w:r>
        <w:t>The period 1 analysis is as follows:</w:t>
      </w:r>
    </w:p>
    <w:p w:rsidR="00974303" w:rsidRDefault="00EF3BDE" w:rsidP="00BD4606">
      <w:r w:rsidRPr="00EF3BDE">
        <w:rPr>
          <w:noProof/>
        </w:rPr>
        <w:drawing>
          <wp:inline distT="0" distB="0" distL="0" distR="0">
            <wp:extent cx="5020056" cy="1435608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0056" cy="1435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4303" w:rsidRDefault="00974303" w:rsidP="00BD4606">
      <w:r>
        <w:t xml:space="preserve">When discounted to the present, the onshoring discounted profits are </w:t>
      </w:r>
      <w:r w:rsidR="00D91090">
        <w:t>$</w:t>
      </w:r>
      <w:r>
        <w:t>17,355.</w:t>
      </w:r>
    </w:p>
    <w:p w:rsidR="00974303" w:rsidRDefault="003D6007" w:rsidP="00BD4606">
      <w:r w:rsidRPr="003D6007">
        <w:rPr>
          <w:noProof/>
        </w:rPr>
        <w:drawing>
          <wp:inline distT="0" distB="0" distL="0" distR="0">
            <wp:extent cx="2276191" cy="96190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6191" cy="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4303" w:rsidRDefault="00974303">
      <w:r>
        <w:lastRenderedPageBreak/>
        <w:br w:type="page"/>
      </w:r>
    </w:p>
    <w:p w:rsidR="00974303" w:rsidRPr="006B0BE9" w:rsidRDefault="00DD235F" w:rsidP="00BD4606">
      <w:r>
        <w:rPr>
          <w:u w:val="single"/>
        </w:rPr>
        <w:lastRenderedPageBreak/>
        <w:t>Offshoring</w:t>
      </w:r>
      <w:r w:rsidR="006B0BE9">
        <w:rPr>
          <w:u w:val="single"/>
        </w:rPr>
        <w:t xml:space="preserve"> (see worksheet </w:t>
      </w:r>
      <w:r w:rsidR="006B0BE9">
        <w:rPr>
          <w:i/>
          <w:u w:val="single"/>
        </w:rPr>
        <w:t>Offshoring</w:t>
      </w:r>
      <w:r w:rsidR="006B0BE9">
        <w:rPr>
          <w:u w:val="single"/>
        </w:rPr>
        <w:t>)</w:t>
      </w:r>
    </w:p>
    <w:p w:rsidR="00DD235F" w:rsidRDefault="00DD235F" w:rsidP="00BD4606">
      <w:r>
        <w:t xml:space="preserve">If production is offshored, the yuan exchange rate comes into play because costs are now incurred in yuan. Revenue stays </w:t>
      </w:r>
      <w:r w:rsidR="00BE3802">
        <w:t>$</w:t>
      </w:r>
      <w:r>
        <w:t>20 per unit. Period 2 results are as follows (it is best for Forever Young to order 990 units for period 2):</w:t>
      </w:r>
    </w:p>
    <w:p w:rsidR="00DD235F" w:rsidRDefault="00EF3BDE" w:rsidP="00BD4606">
      <w:r w:rsidRPr="00EF3BDE">
        <w:rPr>
          <w:noProof/>
        </w:rPr>
        <w:drawing>
          <wp:inline distT="0" distB="0" distL="0" distR="0">
            <wp:extent cx="5367528" cy="2532888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67528" cy="2532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235F" w:rsidRDefault="00DD235F" w:rsidP="00BD4606">
      <w:r>
        <w:t>Period 1 analysis is as follows (it is best for Forever Young to preorder 1100 units for period 1):</w:t>
      </w:r>
    </w:p>
    <w:p w:rsidR="00DD235F" w:rsidRDefault="00EF3BDE" w:rsidP="00BD4606">
      <w:r w:rsidRPr="00EF3BDE">
        <w:rPr>
          <w:noProof/>
        </w:rPr>
        <w:drawing>
          <wp:inline distT="0" distB="0" distL="0" distR="0">
            <wp:extent cx="5358384" cy="13716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8384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235F" w:rsidRDefault="00DD235F" w:rsidP="00BD4606">
      <w:r>
        <w:t xml:space="preserve">When discounted to the present, offshoring profits are </w:t>
      </w:r>
      <w:r w:rsidR="00306831">
        <w:t>$</w:t>
      </w:r>
      <w:r>
        <w:t>19,361.</w:t>
      </w:r>
    </w:p>
    <w:p w:rsidR="00DD235F" w:rsidRDefault="00306831" w:rsidP="00BD4606">
      <w:r w:rsidRPr="00306831">
        <w:rPr>
          <w:noProof/>
        </w:rPr>
        <w:drawing>
          <wp:inline distT="0" distB="0" distL="0" distR="0">
            <wp:extent cx="2180953" cy="1152381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0953" cy="11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235F" w:rsidRDefault="00DD235F" w:rsidP="00BD4606">
      <w:r>
        <w:t>It is better to offshore</w:t>
      </w:r>
      <w:r w:rsidR="00753301">
        <w:t xml:space="preserve"> production</w:t>
      </w:r>
      <w:r>
        <w:t xml:space="preserve"> if </w:t>
      </w:r>
      <w:r w:rsidR="00EF3BDE">
        <w:t xml:space="preserve">the choice is between </w:t>
      </w:r>
      <w:proofErr w:type="spellStart"/>
      <w:r w:rsidR="00EF3BDE">
        <w:t>onshoring</w:t>
      </w:r>
      <w:proofErr w:type="spellEnd"/>
      <w:r w:rsidR="00EF3BDE">
        <w:t xml:space="preserve"> </w:t>
      </w:r>
      <w:r w:rsidR="00B224B5">
        <w:t>and</w:t>
      </w:r>
      <w:r w:rsidR="00EF3BDE">
        <w:t xml:space="preserve"> offshoring</w:t>
      </w:r>
      <w:r>
        <w:t>.</w:t>
      </w:r>
    </w:p>
    <w:p w:rsidR="00DD235F" w:rsidRDefault="00DD235F">
      <w:r>
        <w:br w:type="page"/>
      </w:r>
    </w:p>
    <w:p w:rsidR="00672061" w:rsidRPr="00672061" w:rsidRDefault="00672061" w:rsidP="00672061">
      <w:pPr>
        <w:pStyle w:val="ListParagraph"/>
        <w:numPr>
          <w:ilvl w:val="0"/>
          <w:numId w:val="1"/>
        </w:numPr>
      </w:pPr>
      <w:r>
        <w:lastRenderedPageBreak/>
        <w:t>The analysis of the hybrid approach is as follows:</w:t>
      </w:r>
    </w:p>
    <w:p w:rsidR="00DD235F" w:rsidRPr="006254DA" w:rsidRDefault="00DD235F" w:rsidP="00BD4606">
      <w:r>
        <w:rPr>
          <w:u w:val="single"/>
        </w:rPr>
        <w:t>Hybrid Sourcing</w:t>
      </w:r>
      <w:r w:rsidR="006254DA">
        <w:rPr>
          <w:u w:val="single"/>
        </w:rPr>
        <w:t xml:space="preserve"> (see worksheet </w:t>
      </w:r>
      <w:r w:rsidR="006254DA">
        <w:rPr>
          <w:i/>
          <w:u w:val="single"/>
        </w:rPr>
        <w:t>Hybrid Sourcing</w:t>
      </w:r>
      <w:r w:rsidR="006254DA">
        <w:rPr>
          <w:u w:val="single"/>
        </w:rPr>
        <w:t>)</w:t>
      </w:r>
    </w:p>
    <w:p w:rsidR="00DD235F" w:rsidRDefault="00613AEB" w:rsidP="00BD4606">
      <w:r>
        <w:t>In this case</w:t>
      </w:r>
      <w:r w:rsidR="005B7E97">
        <w:t>,</w:t>
      </w:r>
      <w:r>
        <w:t xml:space="preserve"> the strategy is to order a base load of 900 units from China for each period and make up any difference from the onshore source (at $11 / unit). Period 2 results are as follows:</w:t>
      </w:r>
    </w:p>
    <w:p w:rsidR="00613AEB" w:rsidRDefault="00B224B5" w:rsidP="00BD4606">
      <w:r w:rsidRPr="00B224B5">
        <w:rPr>
          <w:noProof/>
        </w:rPr>
        <w:drawing>
          <wp:inline distT="0" distB="0" distL="0" distR="0">
            <wp:extent cx="5193792" cy="22860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3792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26BB" w:rsidRDefault="00FA26BB" w:rsidP="00BD4606">
      <w:r>
        <w:t>Period 1 analysis is as follows:</w:t>
      </w:r>
    </w:p>
    <w:p w:rsidR="00FA26BB" w:rsidRDefault="00B224B5" w:rsidP="00BD4606">
      <w:r w:rsidRPr="00B224B5">
        <w:rPr>
          <w:noProof/>
        </w:rPr>
        <w:drawing>
          <wp:inline distT="0" distB="0" distL="0" distR="0">
            <wp:extent cx="5120640" cy="1389888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0640" cy="1389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26BB" w:rsidRDefault="00FA26BB" w:rsidP="00BD4606">
      <w:r>
        <w:t xml:space="preserve">The discounted Period 0 results for the hybrid strategy results in profits of </w:t>
      </w:r>
      <w:r w:rsidR="000E6E4A">
        <w:t>$</w:t>
      </w:r>
      <w:r>
        <w:t xml:space="preserve">19,331. Thus, the offshoring option (with different order quantities for the two periods) is the best option unless the cost of onshoring in the hybrid option can be reduced to </w:t>
      </w:r>
      <w:r w:rsidR="000E6E4A">
        <w:t>$</w:t>
      </w:r>
      <w:r>
        <w:t>10.84</w:t>
      </w:r>
      <w:r w:rsidR="00E84282">
        <w:t xml:space="preserve"> (set cell B4 in </w:t>
      </w:r>
      <w:r w:rsidR="00E84282">
        <w:rPr>
          <w:i/>
        </w:rPr>
        <w:t>hybrid sourcing</w:t>
      </w:r>
      <w:r w:rsidR="00E84282">
        <w:t xml:space="preserve"> to 10.84).</w:t>
      </w:r>
    </w:p>
    <w:p w:rsidR="00E84282" w:rsidRPr="00DD235F" w:rsidRDefault="00E84282" w:rsidP="00BD4606">
      <w:r>
        <w:t xml:space="preserve">If hybrid sourcing can be used with a base load order in period 2 of 810 (set cell B7 in </w:t>
      </w:r>
      <w:r>
        <w:rPr>
          <w:i/>
        </w:rPr>
        <w:t>hybrid sourcing</w:t>
      </w:r>
      <w:r>
        <w:t xml:space="preserve"> to 810) and period 1 of 900, the expected profit increases to </w:t>
      </w:r>
      <w:r w:rsidR="000E6E4A">
        <w:t>$</w:t>
      </w:r>
      <w:r>
        <w:t xml:space="preserve">19,350. In this case, the hybrid strategy is more profitable if the onshoring cost for the hybrid option can be lowered to </w:t>
      </w:r>
      <w:r w:rsidR="000E6E4A">
        <w:t>$</w:t>
      </w:r>
      <w:r>
        <w:t>10.95.</w:t>
      </w:r>
    </w:p>
    <w:sectPr w:rsidR="00E84282" w:rsidRPr="00DD235F" w:rsidSect="004A0A0F">
      <w:footerReference w:type="default" r:id="rId16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913F1" w:rsidRDefault="008913F1" w:rsidP="001F751E">
      <w:pPr>
        <w:spacing w:after="0" w:line="240" w:lineRule="auto"/>
      </w:pPr>
      <w:r>
        <w:separator/>
      </w:r>
    </w:p>
  </w:endnote>
  <w:endnote w:type="continuationSeparator" w:id="0">
    <w:p w:rsidR="008913F1" w:rsidRDefault="008913F1" w:rsidP="001F75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F7A01" w:rsidRDefault="00FF7A01" w:rsidP="00FF7A01">
    <w:pPr>
      <w:pStyle w:val="Footer"/>
      <w:tabs>
        <w:tab w:val="left" w:pos="6090"/>
      </w:tabs>
    </w:pPr>
    <w:r>
      <w:t>Copyright © 2019 Pearson Education, Inc.</w:t>
    </w:r>
    <w:r>
      <w:tab/>
    </w:r>
    <w:r>
      <w:tab/>
    </w:r>
    <w:r>
      <w:tab/>
    </w:r>
    <w:r>
      <w:rPr>
        <w:noProof/>
      </w:rPr>
      <w:drawing>
        <wp:inline distT="0" distB="0" distL="0" distR="0" wp14:anchorId="30778B20" wp14:editId="752110AE">
          <wp:extent cx="647700" cy="457200"/>
          <wp:effectExtent l="0" t="0" r="0" b="0"/>
          <wp:docPr id="9" name="Picture 9" descr="AL1111843_High Re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AL1111843_High Re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00" cy="457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1F751E" w:rsidRDefault="001F751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913F1" w:rsidRDefault="008913F1" w:rsidP="001F751E">
      <w:pPr>
        <w:spacing w:after="0" w:line="240" w:lineRule="auto"/>
      </w:pPr>
      <w:r>
        <w:separator/>
      </w:r>
    </w:p>
  </w:footnote>
  <w:footnote w:type="continuationSeparator" w:id="0">
    <w:p w:rsidR="008913F1" w:rsidRDefault="008913F1" w:rsidP="001F751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DAD4BFB"/>
    <w:multiLevelType w:val="hybridMultilevel"/>
    <w:tmpl w:val="B3A669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trackRevision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D4606"/>
    <w:rsid w:val="000242C7"/>
    <w:rsid w:val="000B4AA0"/>
    <w:rsid w:val="000E6E4A"/>
    <w:rsid w:val="0017183E"/>
    <w:rsid w:val="001F751E"/>
    <w:rsid w:val="00306831"/>
    <w:rsid w:val="00330079"/>
    <w:rsid w:val="003D6007"/>
    <w:rsid w:val="004A0A0F"/>
    <w:rsid w:val="005B7E97"/>
    <w:rsid w:val="00600DCE"/>
    <w:rsid w:val="00613AEB"/>
    <w:rsid w:val="006254DA"/>
    <w:rsid w:val="00672061"/>
    <w:rsid w:val="006B0BE9"/>
    <w:rsid w:val="00727259"/>
    <w:rsid w:val="00753301"/>
    <w:rsid w:val="0076630F"/>
    <w:rsid w:val="007A59E6"/>
    <w:rsid w:val="00855781"/>
    <w:rsid w:val="008913F1"/>
    <w:rsid w:val="00974303"/>
    <w:rsid w:val="00A00378"/>
    <w:rsid w:val="00B224B5"/>
    <w:rsid w:val="00BD4606"/>
    <w:rsid w:val="00BE3802"/>
    <w:rsid w:val="00C4749F"/>
    <w:rsid w:val="00D45490"/>
    <w:rsid w:val="00D91090"/>
    <w:rsid w:val="00DC0BF1"/>
    <w:rsid w:val="00DD235F"/>
    <w:rsid w:val="00E84282"/>
    <w:rsid w:val="00EF3BDE"/>
    <w:rsid w:val="00F50AA3"/>
    <w:rsid w:val="00FA26BB"/>
    <w:rsid w:val="00FF7A0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F163E784-0F0D-441C-940C-DF78621230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A0A0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D46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D460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53301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1F751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F751E"/>
  </w:style>
  <w:style w:type="paragraph" w:styleId="Footer">
    <w:name w:val="footer"/>
    <w:basedOn w:val="Normal"/>
    <w:link w:val="FooterChar"/>
    <w:unhideWhenUsed/>
    <w:rsid w:val="001F751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F751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wmf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5</Pages>
  <Words>315</Words>
  <Characters>1799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Kellogg School of Management</Company>
  <LinksUpToDate>false</LinksUpToDate>
  <CharactersWithSpaces>2110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Sunil Chopra &amp; Jay Mabe</dc:creator>
  <cp:lastModifiedBy>Mirano, Ronel</cp:lastModifiedBy>
  <cp:revision>20</cp:revision>
  <dcterms:created xsi:type="dcterms:W3CDTF">2015-09-14T18:55:00Z</dcterms:created>
  <dcterms:modified xsi:type="dcterms:W3CDTF">2017-10-13T12:36:00Z</dcterms:modified>
</cp:coreProperties>
</file>